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w:cs="Arial" w:eastAsia="Arial" w:hAnsi="Arial"/>
        </w:rPr>
      </w:pPr>
      <w:r w:rsidDel="00000000" w:rsidR="00000000" w:rsidRPr="00000000">
        <w:rPr>
          <w:rFonts w:ascii="Arial" w:cs="Arial" w:eastAsia="Arial" w:hAnsi="Arial"/>
          <w:rtl w:val="0"/>
        </w:rPr>
        <w:t xml:space="preserve">NOTULEN</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Pelaksanaan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Hari/Tanggal</w:t>
        <w:tab/>
        <w:tab/>
        <w:t xml:space="preserve">: Selasa, 5 Oktober 2021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Waktu</w:t>
        <w:tab/>
        <w:tab/>
        <w:tab/>
        <w:t xml:space="preserve">: 09.00 s.d. 13.30 WIB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Tempat</w:t>
        <w:tab/>
        <w:tab/>
        <w:tab/>
        <w:t xml:space="preserve">: Zoom Meeting</w:t>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Pimpinan Rapat</w:t>
        <w:tab/>
        <w:tab/>
        <w:t xml:space="preserve">: Direktur Standardisasi Obat NPPZA</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Ringkasan Notulensi</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Arahan Pimpinan Rapat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Dasar Hukum</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 5/21 tentang Penyelenggaraan Perizinan Berusaha Berbasis Risiko</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PMKes 14/21 tentang Standar Kegiatan Usaha dan Produk pada Penyelenggaraan Perizinan Berusaha Berbasis Risiko Sektor Kesehatan</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PerBPOM 10/21 tentang Standar Kegiatan Usaha dan Produk pada Penyelenggaraan Perizinan Berusaha Berbasis Risiko Sektor Obat dan Makanan</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PerBPOM 29/17, diubah dengan PerBPOM 14/20</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PerBPOM 40/17, diubah dengan PerBPOM 15/20</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KepKa BPOM No. HK.00.05.3.00914 tahun 2002 tentang Pemasukan Obat Jalur Khusus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Latar Belakang</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Lampiran D/11 PerBPOM 10/21, jenis SAS yang menjadi kewenangan BPOM</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Lampiran 56 PMKes/21</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Revisi PerBPOM 29/17 dan PerBPOM 30/17</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6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KepKa BPOM No. HK.00.05.3.00914 tahun 2002 akan dicabut mengingat regulasi tersebut perlu disesuaikan dengan kebutuhan hukum dan pengembangan IPTEK di bidang pengawasan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00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Pembahasan Rancangan</w:t>
      </w:r>
    </w:p>
    <w:tbl>
      <w:tblPr>
        <w:tblStyle w:val="Table1"/>
        <w:tblW w:w="924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6"/>
        <w:gridCol w:w="4000"/>
        <w:gridCol w:w="3876"/>
        <w:tblGridChange w:id="0">
          <w:tblGrid>
            <w:gridCol w:w="1366"/>
            <w:gridCol w:w="4000"/>
            <w:gridCol w:w="3876"/>
          </w:tblGrid>
        </w:tblGridChange>
      </w:tblGrid>
      <w:tr>
        <w:trPr>
          <w:cantSplit w:val="0"/>
          <w:tblHeader w:val="0"/>
        </w:trPr>
        <w:tc>
          <w:tcPr/>
          <w:p w:rsidR="00000000" w:rsidDel="00000000" w:rsidP="00000000" w:rsidRDefault="00000000" w:rsidRPr="00000000" w14:paraId="00000016">
            <w:pPr>
              <w:jc w:val="center"/>
              <w:rPr>
                <w:rFonts w:ascii="Arial" w:cs="Arial" w:eastAsia="Arial" w:hAnsi="Arial"/>
                <w:b w:val="1"/>
              </w:rPr>
            </w:pPr>
            <w:r w:rsidDel="00000000" w:rsidR="00000000" w:rsidRPr="00000000">
              <w:rPr>
                <w:rFonts w:ascii="Arial" w:cs="Arial" w:eastAsia="Arial" w:hAnsi="Arial"/>
                <w:b w:val="1"/>
                <w:rtl w:val="0"/>
              </w:rPr>
              <w:t xml:space="preserve">Bagian</w:t>
            </w:r>
          </w:p>
        </w:tc>
        <w:tc>
          <w:tcPr/>
          <w:p w:rsidR="00000000" w:rsidDel="00000000" w:rsidP="00000000" w:rsidRDefault="00000000" w:rsidRPr="00000000" w14:paraId="00000017">
            <w:pPr>
              <w:jc w:val="center"/>
              <w:rPr>
                <w:rFonts w:ascii="Arial" w:cs="Arial" w:eastAsia="Arial" w:hAnsi="Arial"/>
                <w:b w:val="1"/>
              </w:rPr>
            </w:pPr>
            <w:r w:rsidDel="00000000" w:rsidR="00000000" w:rsidRPr="00000000">
              <w:rPr>
                <w:rFonts w:ascii="Arial" w:cs="Arial" w:eastAsia="Arial" w:hAnsi="Arial"/>
                <w:b w:val="1"/>
                <w:rtl w:val="0"/>
              </w:rPr>
              <w:t xml:space="preserve">Pembahasan</w:t>
            </w:r>
          </w:p>
        </w:tc>
        <w:tc>
          <w:tcPr/>
          <w:p w:rsidR="00000000" w:rsidDel="00000000" w:rsidP="00000000" w:rsidRDefault="00000000" w:rsidRPr="00000000" w14:paraId="00000018">
            <w:pPr>
              <w:jc w:val="center"/>
              <w:rPr>
                <w:rFonts w:ascii="Arial" w:cs="Arial" w:eastAsia="Arial" w:hAnsi="Arial"/>
                <w:b w:val="1"/>
              </w:rPr>
            </w:pPr>
            <w:r w:rsidDel="00000000" w:rsidR="00000000" w:rsidRPr="00000000">
              <w:rPr>
                <w:rFonts w:ascii="Arial" w:cs="Arial" w:eastAsia="Arial" w:hAnsi="Arial"/>
                <w:b w:val="1"/>
                <w:rtl w:val="0"/>
              </w:rPr>
              <w:t xml:space="preserve">Kesimpulan</w:t>
            </w:r>
          </w:p>
        </w:tc>
      </w:tr>
      <w:tr>
        <w:trPr>
          <w:cantSplit w:val="0"/>
          <w:tblHeader w:val="0"/>
        </w:trPr>
        <w:tc>
          <w:tcPr/>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Judul</w:t>
            </w:r>
          </w:p>
        </w:tc>
        <w:tc>
          <w:tcPr/>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Sudah Sesuai</w:t>
            </w:r>
          </w:p>
        </w:tc>
        <w:tc>
          <w:tcPr/>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Sudah sesuai</w:t>
            </w:r>
          </w:p>
        </w:tc>
      </w:tr>
      <w:tr>
        <w:trPr>
          <w:cantSplit w:val="0"/>
          <w:tblHeader w:val="0"/>
        </w:trPr>
        <w:tc>
          <w:tcPr/>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Menimbang</w:t>
            </w:r>
          </w:p>
        </w:tc>
        <w:tc>
          <w:tcPr/>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Tuti Wasdis: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huruf e, ada “pengawasan obat”. Tidak sinkron dengan judul, diusulkan untuk disesuaikan dengan Judul.</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Hukor :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huruf a dan b dihapus. Diolah dipasal 1 atau dibatang tubuh.</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Perbaikan redaksi untuk huruf a (sebelumnya huruf c), “bahwa beberapa ketentuan mengenai pemasukan Obat melalui mekanisme jalur khusus sebagaimana telah diatur dalam Keputusan Kepala Badan Pengawas Obat dan Makanan Nomor HK.00.05.3.00914 Tahun 2002  tentang Pemasukan Obat Jalur Khusus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perlu disesuaikan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sudah tidak sesuai dengan kebutuhan hukum serta perkembangan ilmu pengetahuan dan teknologi di bidang pengawasan Obat dan Makanan;”</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Keputusan Kepala Badan Pengawas Obat dan Makanan Nomor HK.00.05.3.00914 Tahun 2002  tidak perlu dicantumkan, karena merupakan produk hukum berbeda. SK akan dicabut dengan peraturan lain (SK).</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Usulan alternatif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“bahwa untuk melindung masyarakat dari pemasukan Obat dan Bahan Obat yang tidak memenuhi standar dan/atau persyaratan, keamanan, khasiat dan mutu ke dalam wilayah Indonesia untuk keperluan tertentu, perlu mengatur mengenai pemasukan Obat dan Bahan Obat melalui mekanisme jalur khusus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special access scheme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Huruf lainnya menyesuaikan perubahan</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akan ada kemungkinan penambahan huruf terkait delegasi penyusunan PerBPOM SAS</w:t>
            </w:r>
          </w:p>
        </w:tc>
        <w:tc>
          <w:tcPr/>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Menghapus huruf a dan b. </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Berdasarkan masukan Hukor bahwa SK diusulkan tidak dicantumkan dalam konsideran dan ketentuan penutup, karena merupakan produk hukum yang berbeda. Sehingga untuk selanjutnya SK tersebut akan dicabut dengan peraturan lain berupa SK.</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Dalam Revisi PerBPOM Pengawasan Pemasukan Obat/Bahan Obat terdapat delegasi penyusunan PerBPOM SAS sehingga diusulkan dimasukan dalam konsideran</w:t>
            </w:r>
          </w:p>
        </w:tc>
      </w:tr>
      <w:tr>
        <w:trPr>
          <w:cantSplit w:val="0"/>
          <w:tblHeader w:val="0"/>
        </w:trPr>
        <w:tc>
          <w:tcPr/>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Mengingat</w:t>
            </w:r>
          </w:p>
        </w:tc>
        <w:tc>
          <w:tcPr/>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Hukor :</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Hanya mencantumkan yang mendelegasikan, sehingga bisa disesuaikan dan dikurangi peraturan yang dimasukkan.</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Tidak perlu mencantumkan UU 36/2009</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 5/21 untuk sementara tetap dicantumkan</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PMKes No. 1010/Menkes/Per/XI/2008 dihapus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PerKa BPOM No. 24/17 dihapus</w:t>
            </w:r>
          </w:p>
        </w:tc>
        <w:tc>
          <w:tcPr/>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Hanya mencantumkan peraturan perundang-undangan yang sifatnya mendelegasikan, sehingga peraturan yang sudah dimasukkan dikurangi.</w:t>
            </w:r>
            <w:r w:rsidDel="00000000" w:rsidR="00000000" w:rsidRPr="00000000">
              <w:rPr>
                <w:rtl w:val="0"/>
              </w:rPr>
            </w:r>
          </w:p>
        </w:tc>
      </w:tr>
      <w:tr>
        <w:trPr>
          <w:cantSplit w:val="0"/>
          <w:tblHeader w:val="0"/>
        </w:trPr>
        <w:tc>
          <w:tcPr/>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Pasal 1</w:t>
            </w:r>
          </w:p>
        </w:tc>
        <w:tc>
          <w:tcPr/>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Wasdis :</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kemkes sudah mengatur definisi di permenkes dengan ada tambahan untuk obat yang belum memiliki izin edar</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PMK 14/21 : Pemasukan obat yang belum memiliki izin edar namun sangat dibutuhkan atau belum diproduksi di Indonesia atau telah diproduksi di Indonesia namun belum mencukupi ketersediaannya untuk pelayanan kesehatan.</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PerBPOM 10/21 : Mekanisme Jalur Khusus atau Special Access Scheme yang selanjutnya disingkat SAS adalah mekanisme pemasukan Obat/Bahan Obat yang tidak/belum memiliki izin edar namun sangat diperlukan dalam kondisi tertentu ke dalam wilayah Indonesia.</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Ditreg :</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untuk obat yang sudah memiliki NIE di Indoensia, namun pelabelan berbeda dari yang telah disetujui dan mengalami kelangkaan, apakah akan diakomodir dengan SAS?</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sudah masuk kriteria tidak memilki izin edar. Meskipun produk sudah terdaftar di Indonesia, tapi untuk penandaan dsb diluar yang disetujui sebelumnya.</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tidak harus diproduksi di Indonesia bisa saja diimpor, tapi masih mengalami kelangkaan, sehingga perlu diimpor lagi melalui SAS.</w:t>
            </w:r>
          </w:p>
          <w:p w:rsidR="00000000" w:rsidDel="00000000" w:rsidP="00000000" w:rsidRDefault="00000000" w:rsidRPr="00000000" w14:paraId="0000003D">
            <w:pPr>
              <w:jc w:val="both"/>
              <w:rPr>
                <w:rFonts w:ascii="Arial" w:cs="Arial" w:eastAsia="Arial" w:hAnsi="Arial"/>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Hukor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Reposisi urutan definisi</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Mengiubah definisi Produk Biologi menjadi “Produk Biologi sebagaimana diatur dalam Peraturan Badan ini dapat berupa enzim, antibodi monoklonal, hormon, sel punca, terapi gen, vaksin, produk darah, produk rekombinan DNA, dan immunosera.”</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Menambahkan pasal 1A terkait Produk Biologi. Menyesuaikan pembahasan dengan JPH</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Dit. Standar Obat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Menghapus definisi “Pemilik Izin Edar”, “Pendaftar” dan “Peggunaan Perorangan”, karena tidak terdapat dalam batang tubuh.</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Anip :</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Terkait Pemohon, untuk organisasi/yayasan kesehatan obat donasi apakah sudah termasuk? Karena pernah ada pengalaman pemasukan produk biologi dengan pemohon berupa yayasan (terkait dengan kepentingan pembebeasan bea masuk)</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Sudah diatur di PerBPOM obat donasi, untuk yayasan/organisasi jika ingin melakukan donasi obat perlu kerja sama dengan IF/PBF untuk pengadaan, pengelolaan, dan peredarannya.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Mereposisi urutan definisi dan menghapus definisi klausul yang tidak terdapat di dalam batang tubuh. </w:t>
            </w:r>
          </w:p>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Menambahkan pasal 1A terkait definisi Produk Biologi, penyesuaian dengan pembahasan JPH. </w:t>
            </w:r>
          </w:p>
        </w:tc>
      </w:tr>
      <w:tr>
        <w:trPr>
          <w:cantSplit w:val="0"/>
          <w:tblHeader w:val="0"/>
        </w:trPr>
        <w:tc>
          <w:tcPr/>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Pasal 2</w:t>
            </w:r>
          </w:p>
        </w:tc>
        <w:tc>
          <w:tcPr/>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Hukor :</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Pembagian SAS antara Kemkes dan BPOM sudah jelas, lebih baik berfokus mengatur yang menjadi kewenangan BPOM sehingga tidak perlu mengikutsertakan kementerian. Usulan Bab 2 ruang lingkup dimasukkan ke Ketentuan Umum.</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PMKes, pengawasan melibatkan BPOM. Sehingga ada hal yang perlu diikutsertakan (dalam hal kesepakatan) untuk mengunci kepentingan KemKes di SAS terutama dalam hal pengawasan</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Tidak perlu dimasukkan ke dalam rancangan. Untuk ayat 2 dapat dimasukkan / diintegrasikan ke pasal2 terkait persyaratan / permohonan.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Bab 2 Ruang Lingkup dihapus</w:t>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Untuk ayat (2) akan direformulasi dan ditinjau kembali, diletakkan dalam batang tubuh yang berkaitan</w:t>
            </w:r>
          </w:p>
        </w:tc>
      </w:tr>
      <w:tr>
        <w:trPr>
          <w:cantSplit w:val="0"/>
          <w:tblHeader w:val="0"/>
        </w:trPr>
        <w:tc>
          <w:tcPr/>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Pasal 3</w:t>
            </w:r>
          </w:p>
        </w:tc>
        <w:tc>
          <w:tcPr/>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Dit. Standar Obat :</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Dikelompokkan jadi 3 untuk SAS yang wajib mendapat persetujuan dari KaBadan, terkait perumusan dan pemahaman mengenai persyaratan2 dipasal selanjutnya.</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Sudah sesuai</w:t>
            </w:r>
          </w:p>
        </w:tc>
        <w:tc>
          <w:tcPr/>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Sudah sesuai</w:t>
            </w:r>
          </w:p>
        </w:tc>
      </w:tr>
      <w:tr>
        <w:trPr>
          <w:cantSplit w:val="0"/>
          <w:tblHeader w:val="0"/>
        </w:trPr>
        <w:tc>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Pasal 4</w:t>
            </w:r>
          </w:p>
        </w:tc>
        <w:tc>
          <w:tcPr/>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Dit. Standar Obat :</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Huruf J “bukan untuk kepentimgan komersial atau diperjualbelikan” perlu dibahas.</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Rev PerBPOM Pemasukan terdapat klausul terkait pemasukan SAS harus dalam jumlah terbatas sesuai kebutuhan dan dilarang untuk diperjualbelikan. Sehingga jika frasa dihapus pada peraturan ini, di revisi PerBPOM tsb juga harus dihapus.</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Frasa “bukan untuk diperjualbelikan” dihapus, sehingga untuk revisi PerBPOM Pemasukan juga perlu penyesuaian.</w:t>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Wasdis :</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Terkait huruf h “bersifat insidentil dan bukan untuk keperluan reguler”, ada pengalaman dari mapping SAS terkait pengawasan distribusi ada beberapa sarana (RS) yang melakukan pengadaan produk SAS rutin tapi sedikit, karna di Indonesia belum ada produk sejenis yang terdaftar dan tidak ada IF yang berniat untuk mendaftarkan produk tsb. Apakah dengan adanya frasa ini apakah akan menjadi penghalang untuk RS melakukan pengadaan obat tersebut yang sangat dibutuhkan? Sehingga diusulkan untuk dihapus frasa tersebut.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Dit. Standar Obat :</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Unit seperti PRON apakah diperlukan dalam SAS di peraturan ini. Sehingga yang riviu kelayakan suatu produk untuk diterbitkan SASnya dalam hal rasionalitasnya.</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Evaluasi rasionalitas pengajuan permohonan Obat SAS bertujuan untuk melindungi BPOM, dimana perlu ada tim khusus selain BPOM yang menyetujui rasionalitas penggunaan obat SAS.</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Terkait dengan perlu atau tidaknya tim adhoc pengkajian kelayakan obat yang diberikan SAS, perlu dikaji kembali dengan mengadopsi apa saja yang saat ini telah dilakukan oleh PRON.</w:t>
            </w:r>
          </w:p>
          <w:p w:rsidR="00000000" w:rsidDel="00000000" w:rsidP="00000000" w:rsidRDefault="00000000" w:rsidRPr="00000000" w14:paraId="00000067">
            <w:pPr>
              <w:jc w:val="both"/>
              <w:rPr>
                <w:rFonts w:ascii="Arial" w:cs="Arial" w:eastAsia="Arial" w:hAnsi="Arial"/>
              </w:rPr>
            </w:pPr>
            <w:r w:rsidDel="00000000" w:rsidR="00000000" w:rsidRPr="00000000">
              <w:rPr>
                <w:rtl w:val="0"/>
              </w:rPr>
            </w:r>
          </w:p>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rtl w:val="0"/>
              </w:rPr>
              <w:t xml:space="preserve">Ditreg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mengacu ke TGA, di TGA hanya perlu notifikasi untuk obat yang sering dimasukkan melalui SAS. perlu mempertimbangkan apakah akan mengadopsi ketentuan lab?</w:t>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p w:rsidR="00000000" w:rsidDel="00000000" w:rsidP="00000000" w:rsidRDefault="00000000" w:rsidRPr="00000000" w14:paraId="0000006B">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menambahkan klausul ketentuan terkait dengan tim adhoc untuk evaluasi rasionalitas penggunaan obat untuk selanjutnya meminta arahan pimpinan terkait usulan tsb</w:t>
            </w:r>
          </w:p>
        </w:tc>
      </w:tr>
      <w:tr>
        <w:trPr>
          <w:cantSplit w:val="0"/>
          <w:tblHeader w:val="0"/>
        </w:trPr>
        <w:tc>
          <w:tcPr/>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Pasal 5</w:t>
            </w:r>
          </w:p>
        </w:tc>
        <w:tc>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Dir. Dit. Standar Obat :</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Pasal 5 hanya untuk pelayanan kesehatan</w:t>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jc w:val="both"/>
              <w:rPr>
                <w:rFonts w:ascii="Arial" w:cs="Arial" w:eastAsia="Arial" w:hAnsi="Arial"/>
              </w:rPr>
            </w:pPr>
            <w:r w:rsidDel="00000000" w:rsidR="00000000" w:rsidRPr="00000000">
              <w:rPr>
                <w:rFonts w:ascii="Arial" w:cs="Arial" w:eastAsia="Arial" w:hAnsi="Arial"/>
                <w:rtl w:val="0"/>
              </w:rPr>
              <w:t xml:space="preserve">Sudah sesuai</w:t>
            </w:r>
          </w:p>
        </w:tc>
        <w:tc>
          <w:tcPr/>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Sudah sesuai</w:t>
            </w:r>
          </w:p>
        </w:tc>
      </w:tr>
      <w:tr>
        <w:trPr>
          <w:cantSplit w:val="0"/>
          <w:tblHeader w:val="0"/>
        </w:trPr>
        <w:tc>
          <w:tcPr/>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Pasal 6</w:t>
            </w:r>
          </w:p>
        </w:tc>
        <w:tc>
          <w:tcPr/>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Anip :</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Usulan perbaikan redaksional pada huruf b, “menyampaikan dokumen permohonan yang terdiri atas :” dan penambahan dokumen “surat permohonan”</w:t>
            </w:r>
          </w:p>
        </w:tc>
        <w:tc>
          <w:tcPr/>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rtl w:val="0"/>
              </w:rPr>
              <w:t xml:space="preserve">Perbaikan redaksional dan penambahan persyaratan dokumen.</w:t>
            </w:r>
          </w:p>
        </w:tc>
      </w:tr>
      <w:tr>
        <w:trPr>
          <w:cantSplit w:val="0"/>
          <w:tblHeader w:val="0"/>
        </w:trPr>
        <w:tc>
          <w:tcPr/>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Pasal 7</w:t>
            </w:r>
          </w:p>
        </w:tc>
        <w:tc>
          <w:tcPr/>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Sudah sesuai</w:t>
            </w:r>
          </w:p>
        </w:tc>
        <w:tc>
          <w:tcPr/>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Sudah sesuai</w:t>
            </w:r>
          </w:p>
        </w:tc>
      </w:tr>
      <w:tr>
        <w:trPr>
          <w:cantSplit w:val="0"/>
          <w:tblHeader w:val="0"/>
        </w:trPr>
        <w:tc>
          <w:tcPr/>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Pasal 7A</w:t>
            </w:r>
          </w:p>
        </w:tc>
        <w:tc>
          <w:tcPr/>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Persyaratan pengambilan sampel untuk vaksin pada SAS juga diperlakukan sama seperti dalam pemasukan melalui SKI</w:t>
            </w:r>
          </w:p>
        </w:tc>
        <w:tc>
          <w:tcPr/>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Sudah sesuai dengan ketentuan pada PerBPOM Pengawasan Pemasukan</w:t>
            </w:r>
          </w:p>
        </w:tc>
      </w:tr>
      <w:tr>
        <w:trPr>
          <w:cantSplit w:val="0"/>
          <w:tblHeader w:val="0"/>
        </w:trPr>
        <w:tc>
          <w:tcPr/>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Pasal 7B</w:t>
            </w:r>
          </w:p>
        </w:tc>
        <w:tc>
          <w:tcPr/>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Sudah sesuai</w:t>
            </w:r>
          </w:p>
        </w:tc>
        <w:tc>
          <w:tcPr/>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Sudah sesuai dengan ketentuan pada Kepka Pemasukan Obat pada masa pandemic COVID-19</w:t>
            </w:r>
          </w:p>
        </w:tc>
      </w:tr>
      <w:tr>
        <w:trPr>
          <w:cantSplit w:val="0"/>
          <w:tblHeader w:val="0"/>
        </w:trPr>
        <w:tc>
          <w:tcPr/>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Pasal 8</w:t>
            </w:r>
          </w:p>
        </w:tc>
        <w:tc>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Sudah sesuai</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P3OMN :</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Produk untuk Reference di PPOM terkait vaksin juga pernah pemasukannya dilakukan melalui SAS.</w:t>
            </w:r>
          </w:p>
          <w:p w:rsidR="00000000" w:rsidDel="00000000" w:rsidP="00000000" w:rsidRDefault="00000000" w:rsidRPr="00000000" w14:paraId="00000085">
            <w:pPr>
              <w:jc w:val="both"/>
              <w:rPr>
                <w:rFonts w:ascii="Arial" w:cs="Arial" w:eastAsia="Arial" w:hAnsi="Arial"/>
              </w:rPr>
            </w:pP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Ditreg :</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juga sering menggunakan reference standar untuk dilakukan pengujian seperti impuritis</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Saat ini, untuk kebutuhan saat ini dimasukkan pada kriteria untuk penelitian.</w:t>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Dit. Standar Obat :</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Disebabkan saat ini pemasukan baku pembanding yang melalui SAS, maka seharusnya juga harus dilakukan pelaporan. Saat ini, kewajiban pelaporan belum diatur kewajiban pelaporan selain IF dan PBF. direncanaka pelaporan oleh selain IF dan PBF akan diatur pada peraturan SAS ini.</w:t>
            </w:r>
          </w:p>
        </w:tc>
        <w:tc>
          <w:tcPr/>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Sudah sesuai</w:t>
            </w:r>
          </w:p>
        </w:tc>
      </w:tr>
      <w:tr>
        <w:trPr>
          <w:cantSplit w:val="0"/>
          <w:tblHeader w:val="0"/>
        </w:trPr>
        <w:tc>
          <w:tcPr/>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Pasal 9</w:t>
            </w:r>
          </w:p>
        </w:tc>
        <w:tc>
          <w:tcPr/>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Wasdis :</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Apakah persyaratan ini sudah sesuai PerBPOM 10/2021? apakah masih dapat ditambah. Berdasarkan diskusi dengan PBF terdapat kesulitan pelaporan dari PBF disebabkan pemohon pengadaan untuk pengembangan produk adalah IF. Apakah dapat ditambahkan komitmen dari IF untuk memberikan pelaporan terkait penggunaannya.</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Ditreg : Didorong PBF dan IF mencantumkan adanya komitmen untuk pelaporan realisasi penggunaan bahan obat ini dalam MoU antara IF dan PBF. Diusulkan ditambahkan persyaratan apabila pemohon obat SAS dilakukan oleh PBF (untuk tujuan penggunaan oleh IF)</w:t>
            </w:r>
          </w:p>
          <w:p w:rsidR="00000000" w:rsidDel="00000000" w:rsidP="00000000" w:rsidRDefault="00000000" w:rsidRPr="00000000" w14:paraId="00000091">
            <w:pPr>
              <w:jc w:val="both"/>
              <w:rPr>
                <w:rFonts w:ascii="Arial" w:cs="Arial" w:eastAsia="Arial" w:hAnsi="Arial"/>
              </w:rPr>
            </w:pPr>
            <w:r w:rsidDel="00000000" w:rsidR="00000000" w:rsidRPr="00000000">
              <w:rPr>
                <w:rtl w:val="0"/>
              </w:rPr>
            </w:r>
          </w:p>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Ditreg</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Adanya kasus adanya redistribusi obat dari suatu dinkes ke dinkes lainnya, bagaimana apabila pengadaan yang dilakukan untuk dipindahtangankan?</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Ketentuan pelaporan obat SAS mengikuti pelaporan obat rutin distribusi pada umumnya, diperlakukan sama dengan obat pada umumnya. Namun perlu diperjelas hanya untuk pelaporan obat yang digunakan untuk produksi saja atau juga untuk tujuan lainnya. Akan dipertegas pada bagian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kewajiban pelaporan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disebabkan apabila dimasukkan ke dalam persyaratan pada Pasal 9 ini akan mengakibatkan penambahan persyaratan pada PerBPOM 10/2021 yang akan berdampak luas.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Usulan rumusan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Alternatif 1</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Penambahan persyaratan berupa misalnya surat komitmen dari Industri farmasi</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Alternatif 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Tidak menambahkan persyaratan namun penegasan pada bagian kewajiban pemohon untuk menyampaikan pelaporan dimana tidak hanya pemohon SAS yang berkewajiban menyampaikan laporan , namun juga dari pengguna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Usulan Wasdis: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Dalam hal permohonan SAS bahan obat diajukan oleh PBF, maka industry farmasi harus melampirkan surat penunjukan kepada PBF importir dan melaporkan penggunaan bahan baku tersebut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5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Terdapat usulan untuk dipertimbangkan</w:t>
            </w:r>
          </w:p>
          <w:p w:rsidR="00000000" w:rsidDel="00000000" w:rsidP="00000000" w:rsidRDefault="00000000" w:rsidRPr="00000000" w14:paraId="000000A2">
            <w:pPr>
              <w:jc w:val="both"/>
              <w:rPr>
                <w:rFonts w:ascii="Arial" w:cs="Arial" w:eastAsia="Arial" w:hAnsi="Arial"/>
              </w:rPr>
            </w:pPr>
            <w:r w:rsidDel="00000000" w:rsidR="00000000" w:rsidRPr="00000000">
              <w:rPr>
                <w:rtl w:val="0"/>
              </w:rPr>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Alternatif 1 : penambahan persyaratan sesuai usulan wasdis. </w:t>
            </w:r>
          </w:p>
          <w:p w:rsidR="00000000" w:rsidDel="00000000" w:rsidP="00000000" w:rsidRDefault="00000000" w:rsidRPr="00000000" w14:paraId="000000A4">
            <w:pPr>
              <w:jc w:val="both"/>
              <w:rPr>
                <w:rFonts w:ascii="Arial" w:cs="Arial" w:eastAsia="Arial" w:hAnsi="Arial"/>
              </w:rPr>
            </w:pPr>
            <w:r w:rsidDel="00000000" w:rsidR="00000000" w:rsidRPr="00000000">
              <w:rPr>
                <w:rtl w:val="0"/>
              </w:rPr>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Alternatif 2: tidak menambahkan persyaratan namun penegasan pada bagian kewajiban pemohon (menyampaikan pelapran), dimana tidak hanya pemohon SAS yang berkewajiban menyampaikan laporan namun termasuk pengguna obat SAS juga (dalam hal ini IF). </w:t>
            </w:r>
          </w:p>
        </w:tc>
      </w:tr>
    </w:tbl>
    <w:p w:rsidR="00000000" w:rsidDel="00000000" w:rsidP="00000000" w:rsidRDefault="00000000" w:rsidRPr="00000000" w14:paraId="000000A6">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line="240" w:lineRule="auto"/>
        <w:jc w:val="both"/>
        <w:rPr>
          <w:rFonts w:ascii="Arial" w:cs="Arial" w:eastAsia="Arial" w:hAnsi="Arial"/>
        </w:rPr>
      </w:pPr>
      <w:r w:rsidDel="00000000" w:rsidR="00000000" w:rsidRPr="00000000">
        <w:rPr>
          <w:rFonts w:ascii="Arial" w:cs="Arial" w:eastAsia="Arial" w:hAnsi="Arial"/>
          <w:rtl w:val="0"/>
        </w:rPr>
        <w:t xml:space="preserve">Notulis :</w:t>
      </w:r>
    </w:p>
    <w:p w:rsidR="00000000" w:rsidDel="00000000" w:rsidP="00000000" w:rsidRDefault="00000000" w:rsidRPr="00000000" w14:paraId="000000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Henni Yuasnita</w:t>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Risyda Afdhilati</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
    <w:lvl w:ilvl="0">
      <w:start w:val="1"/>
      <w:numFmt w:val="lowerLetter"/>
      <w:lvlText w:val="%1."/>
      <w:lvlJc w:val="left"/>
      <w:pPr>
        <w:ind w:left="1364" w:hanging="360"/>
      </w:pPr>
      <w:rPr/>
    </w:lvl>
    <w:lvl w:ilvl="1">
      <w:start w:val="1"/>
      <w:numFmt w:val="lowerLetter"/>
      <w:lvlText w:val="%2."/>
      <w:lvlJc w:val="left"/>
      <w:pPr>
        <w:ind w:left="2084" w:hanging="360"/>
      </w:pPr>
      <w:rPr/>
    </w:lvl>
    <w:lvl w:ilvl="2">
      <w:start w:val="1"/>
      <w:numFmt w:val="lowerRoman"/>
      <w:lvlText w:val="%3."/>
      <w:lvlJc w:val="right"/>
      <w:pPr>
        <w:ind w:left="2804" w:hanging="180"/>
      </w:pPr>
      <w:rPr/>
    </w:lvl>
    <w:lvl w:ilvl="3">
      <w:start w:val="1"/>
      <w:numFmt w:val="decimal"/>
      <w:lvlText w:val="%4."/>
      <w:lvlJc w:val="left"/>
      <w:pPr>
        <w:ind w:left="3524" w:hanging="360"/>
      </w:pPr>
      <w:rPr/>
    </w:lvl>
    <w:lvl w:ilvl="4">
      <w:start w:val="1"/>
      <w:numFmt w:val="lowerLetter"/>
      <w:lvlText w:val="%5."/>
      <w:lvlJc w:val="left"/>
      <w:pPr>
        <w:ind w:left="4244" w:hanging="360"/>
      </w:pPr>
      <w:rPr/>
    </w:lvl>
    <w:lvl w:ilvl="5">
      <w:start w:val="1"/>
      <w:numFmt w:val="lowerRoman"/>
      <w:lvlText w:val="%6."/>
      <w:lvlJc w:val="right"/>
      <w:pPr>
        <w:ind w:left="4964" w:hanging="180"/>
      </w:pPr>
      <w:rPr/>
    </w:lvl>
    <w:lvl w:ilvl="6">
      <w:start w:val="1"/>
      <w:numFmt w:val="decimal"/>
      <w:lvlText w:val="%7."/>
      <w:lvlJc w:val="left"/>
      <w:pPr>
        <w:ind w:left="5684" w:hanging="360"/>
      </w:pPr>
      <w:rPr/>
    </w:lvl>
    <w:lvl w:ilvl="7">
      <w:start w:val="1"/>
      <w:numFmt w:val="lowerLetter"/>
      <w:lvlText w:val="%8."/>
      <w:lvlJc w:val="left"/>
      <w:pPr>
        <w:ind w:left="6404" w:hanging="360"/>
      </w:pPr>
      <w:rPr/>
    </w:lvl>
    <w:lvl w:ilvl="8">
      <w:start w:val="1"/>
      <w:numFmt w:val="lowerRoman"/>
      <w:lvlText w:val="%9."/>
      <w:lvlJc w:val="right"/>
      <w:pPr>
        <w:ind w:left="7124" w:hanging="180"/>
      </w:pPr>
      <w:rPr/>
    </w:lvl>
  </w:abstractNum>
  <w:abstractNum w:abstractNumId="4">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1364" w:hanging="360"/>
      </w:pPr>
      <w:rPr/>
    </w:lvl>
    <w:lvl w:ilvl="1">
      <w:start w:val="1"/>
      <w:numFmt w:val="lowerLetter"/>
      <w:lvlText w:val="%2."/>
      <w:lvlJc w:val="left"/>
      <w:pPr>
        <w:ind w:left="2084" w:hanging="360"/>
      </w:pPr>
      <w:rPr/>
    </w:lvl>
    <w:lvl w:ilvl="2">
      <w:start w:val="1"/>
      <w:numFmt w:val="lowerRoman"/>
      <w:lvlText w:val="%3."/>
      <w:lvlJc w:val="right"/>
      <w:pPr>
        <w:ind w:left="2804" w:hanging="180"/>
      </w:pPr>
      <w:rPr/>
    </w:lvl>
    <w:lvl w:ilvl="3">
      <w:start w:val="1"/>
      <w:numFmt w:val="decimal"/>
      <w:lvlText w:val="%4."/>
      <w:lvlJc w:val="left"/>
      <w:pPr>
        <w:ind w:left="3524" w:hanging="360"/>
      </w:pPr>
      <w:rPr/>
    </w:lvl>
    <w:lvl w:ilvl="4">
      <w:start w:val="1"/>
      <w:numFmt w:val="lowerLetter"/>
      <w:lvlText w:val="%5."/>
      <w:lvlJc w:val="left"/>
      <w:pPr>
        <w:ind w:left="4244" w:hanging="360"/>
      </w:pPr>
      <w:rPr/>
    </w:lvl>
    <w:lvl w:ilvl="5">
      <w:start w:val="1"/>
      <w:numFmt w:val="lowerRoman"/>
      <w:lvlText w:val="%6."/>
      <w:lvlJc w:val="right"/>
      <w:pPr>
        <w:ind w:left="4964" w:hanging="180"/>
      </w:pPr>
      <w:rPr/>
    </w:lvl>
    <w:lvl w:ilvl="6">
      <w:start w:val="1"/>
      <w:numFmt w:val="decimal"/>
      <w:lvlText w:val="%7."/>
      <w:lvlJc w:val="left"/>
      <w:pPr>
        <w:ind w:left="5684" w:hanging="360"/>
      </w:pPr>
      <w:rPr/>
    </w:lvl>
    <w:lvl w:ilvl="7">
      <w:start w:val="1"/>
      <w:numFmt w:val="lowerLetter"/>
      <w:lvlText w:val="%8."/>
      <w:lvlJc w:val="left"/>
      <w:pPr>
        <w:ind w:left="6404" w:hanging="360"/>
      </w:pPr>
      <w:rPr/>
    </w:lvl>
    <w:lvl w:ilvl="8">
      <w:start w:val="1"/>
      <w:numFmt w:val="lowerRoman"/>
      <w:lvlText w:val="%9."/>
      <w:lvlJc w:val="right"/>
      <w:pPr>
        <w:ind w:left="7124" w:hanging="180"/>
      </w:pPr>
      <w:rPr/>
    </w:lvl>
  </w:abstractNum>
  <w:abstractNum w:abstractNumId="6">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3"/>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pPr>
      <w:ind w:left="720"/>
      <w:contextualSpacing w:val="1"/>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ListParagraphChar" w:customStyle="1">
    <w:name w:val="List Paragraph Char"/>
    <w:link w:val="ListParagraph"/>
    <w:uiPriority w:val="34"/>
    <w:qFormat w:val="1"/>
  </w:style>
  <w:style w:type="paragraph" w:styleId="BalloonText">
    <w:name w:val="Balloon Text"/>
    <w:basedOn w:val="Normal"/>
    <w:link w:val="BalloonTextChar"/>
    <w:uiPriority w:val="9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rPr>
      <w:rFonts w:ascii="Segoe UI" w:cs="Segoe UI" w:hAnsi="Segoe UI"/>
      <w:sz w:val="18"/>
      <w:szCs w:val="18"/>
    </w:rPr>
  </w:style>
  <w:style w:type="character" w:styleId="BodyTextChar" w:customStyle="1">
    <w:name w:val="Body Text Char"/>
    <w:basedOn w:val="DefaultParagraphFont"/>
    <w:link w:val="BodyText"/>
    <w:rPr>
      <w:rFonts w:ascii="Times New Roman" w:cs="Times New Roman" w:eastAsia="Times New Roman" w:hAnsi="Times New Roman"/>
      <w:sz w:val="24"/>
      <w:szCs w:val="24"/>
    </w:rPr>
  </w:style>
  <w:style w:type="paragraph" w:styleId="BodyText">
    <w:name w:val="Body Text"/>
    <w:basedOn w:val="Normal"/>
    <w:link w:val="BodyTextChar"/>
    <w:pPr>
      <w:spacing w:after="0" w:line="240" w:lineRule="auto"/>
      <w:jc w:val="both"/>
    </w:pPr>
    <w:rPr>
      <w:rFonts w:ascii="Times New Roman" w:cs="Times New Roman" w:eastAsia="Times New Roman" w:hAnsi="Times New Roman"/>
      <w:sz w:val="24"/>
      <w:szCs w:val="24"/>
    </w:rPr>
  </w:style>
  <w:style w:type="character" w:styleId="BodyTextChar1" w:customStyle="1">
    <w:name w:val="Body Text Char1"/>
    <w:basedOn w:val="DefaultParagraphFont"/>
    <w:uiPriority w:val="99"/>
  </w:style>
  <w:style w:type="paragraph" w:styleId="NormalWeb">
    <w:name w:val="Normal (Web)"/>
    <w:basedOn w:val="Normal"/>
    <w:pPr>
      <w:spacing w:after="100" w:afterAutospacing="1" w:before="100" w:beforeAutospacing="1" w:line="240" w:lineRule="auto"/>
    </w:pPr>
    <w:rPr>
      <w:rFonts w:ascii="Times New Roman" w:cs="Times New Roman" w:eastAsia="Times New Roman" w:hAnsi="Times New Roman"/>
      <w:sz w:val="24"/>
      <w:szCs w:val="24"/>
      <w:lang w:eastAsia="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3F3fH7IG6Z3sG+f/OTj9/V2wWQ==">AMUW2mXJnKYYA3DyootnLTgL4hwa7H5JVqdUgQYkn7t3Wkc28rzA8J2ReZWXMKSdNODKlv2qdvN+GISLqGdSxfsioZuQ2fL4fOnq6CywB+erBDlGIUa+Q4w=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2021-10-05T06:06:00Z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dfde30c34b5144328d7795d1d52e5cb1</vt:lpwstr>
  </property>
</Properties>
</file>